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48dd119abf31e68900e823acd809c7eee80735"/>
    <w:p>
      <w:pPr>
        <w:pStyle w:val="Heading3"/>
      </w:pPr>
      <w:r>
        <w:t xml:space="preserve">Методические рекомендации по вопросам предоставления сведений о доходах, расходах, об имуществе и обязательствах имущественного характера и заполнения справки за 2020 год</w:t>
      </w:r>
    </w:p>
    <w:p>
      <w:pPr>
        <w:pStyle w:val="FirstParagraph"/>
      </w:pPr>
      <w:r>
        <w:t xml:space="preserve">24.02.2021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http://kuntsevo.mos.ru/anti-corruption/methodical-materials/detail/9736468.html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anti-corruption/methodical-materials/detail/97364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anti-corruption/methodical-materials/detail/97364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2024-07-21T22:56:29Z</dcterms:created>
  <dcterms:modified xsi:type="dcterms:W3CDTF">2024-07-21T22:56:29Z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