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bd6ee79559a8bc3309febf0ce11dc8dad6044"/>
    <w:p>
      <w:pPr>
        <w:pStyle w:val="Heading3"/>
      </w:pPr>
      <w:r>
        <w:t xml:space="preserve">Информационное письмо о возможности приобретения цифровых финансовых активов и цифровой валюты и владения ими отдельными категориями лиц</w:t>
      </w:r>
    </w:p>
    <w:p>
      <w:pPr>
        <w:pStyle w:val="FirstParagraph"/>
      </w:pPr>
      <w:r>
        <w:t xml:space="preserve">24.02.2021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http://kuntsevo.mos.ru/anti-corruption/methodical-materials/detail/9736502.html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Кунцево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ntsevo.mos.ru" TargetMode="External" /><Relationship Type="http://schemas.openxmlformats.org/officeDocument/2006/relationships/hyperlink" Id="rId20" Target="http://kuntsevo.mos.ru/anti-corruption/methodical-materials/detail/97365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ntsevo.mos.ru" TargetMode="External" /><Relationship Type="http://schemas.openxmlformats.org/officeDocument/2006/relationships/hyperlink" Id="rId20" Target="http://kuntsevo.mos.ru/anti-corruption/methodical-materials/detail/97365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2023-10-11T17:59:25Z</dcterms:created>
  <dcterms:modified xsi:type="dcterms:W3CDTF">2023-10-11T17:59:25Z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