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3693bd2e0de7188be7c106e84153ef84704c643"/>
    <w:p>
      <w:pPr>
        <w:pStyle w:val="Heading3"/>
      </w:pPr>
      <w:r>
        <w:t xml:space="preserve">Рекомендации по соблюдению государственными служащими норм этики в целях противодействия коррупции и иным правонарушениям</w:t>
      </w:r>
    </w:p>
    <w:p>
      <w:pPr>
        <w:pStyle w:val="FirstParagraph"/>
      </w:pPr>
      <w:r>
        <w:t xml:space="preserve">24.02.2021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http://kuntsevo.mos.ru/anti-corruption/methodical-materials/detail/9736518.html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Кунцево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kuntsevo.mos.ru" TargetMode="External" /><Relationship Type="http://schemas.openxmlformats.org/officeDocument/2006/relationships/hyperlink" Id="rId20" Target="http://kuntsevo.mos.ru/anti-corruption/methodical-materials/detail/973651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kuntsevo.mos.ru" TargetMode="External" /><Relationship Type="http://schemas.openxmlformats.org/officeDocument/2006/relationships/hyperlink" Id="rId20" Target="http://kuntsevo.mos.ru/anti-corruption/methodical-materials/detail/973651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2024-09-04T20:33:57Z</dcterms:created>
  <dcterms:modified xsi:type="dcterms:W3CDTF">2024-09-04T20:33:57Z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